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487" w:rsidRPr="004A62D5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62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Вопрос: </w:t>
      </w:r>
    </w:p>
    <w:p w:rsidR="00E27487" w:rsidRPr="004A62D5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5F25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Предприятие – участник СЭЗ, Договор заключен в г. Севастополе. На территории Республики Крым имеются обособленные подразделения. Вправе ли применять пониженные налоговые ставки к прибыли, полученной на территории Крыма?</w:t>
      </w:r>
      <w:r w:rsidRPr="005F25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cr/>
      </w:r>
      <w:r w:rsidRPr="004A62D5">
        <w:rPr>
          <w:rFonts w:ascii="Times New Roman" w:hAnsi="Times New Roman" w:cs="Times New Roman"/>
          <w:color w:val="000000" w:themeColor="text1"/>
          <w:sz w:val="28"/>
          <w:szCs w:val="28"/>
        </w:rPr>
        <w:cr/>
      </w:r>
      <w:r w:rsidRPr="004A62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Ответ:</w:t>
      </w:r>
    </w:p>
    <w:p w:rsidR="00E27487" w:rsidRPr="009150AF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нормами статьи 284 Кодекса и Закона Севастополя №110-ЗС нулевая и пониженные ставки по налогу на прибыль организаций применяются к прибыли, полученной </w:t>
      </w:r>
      <w:r w:rsidRPr="001E43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реализации товаров (работ, услуг), произведенных в рамках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</w:t>
      </w:r>
      <w:r w:rsidRPr="001E43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оговора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налоговые ставки применяются при условии ведения налогоплательщиком раздельного учета доходов (расходов), полученных (понесенных) от деятельности, осуществляемой в соответствии с Договором и доходов (расходов), полученных (понесенных) при осуществлении иной деятельности.</w:t>
      </w:r>
    </w:p>
    <w:p w:rsidR="00E27487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hyperlink r:id="rId4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 статьи 274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установлено, что налоговая база по прибыли, облагаемой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иной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ставке,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нежели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указанной в </w:t>
      </w:r>
      <w:hyperlink r:id="rId5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 статьи 284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>НК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>РФ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есть 20%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B34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определяется налогоплательщиком отдельно.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27487" w:rsidRPr="001D4C7C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Следовательно, действующими положениями законодательства Российской Федерации о налогах и сборах </w:t>
      </w:r>
      <w:r w:rsidRPr="001D4C7C">
        <w:rPr>
          <w:rFonts w:ascii="Times New Roman" w:hAnsi="Times New Roman" w:cs="Times New Roman"/>
          <w:b/>
          <w:sz w:val="28"/>
          <w:szCs w:val="28"/>
        </w:rPr>
        <w:t>установлено требование о формировании двух налоговых баз по прибыли.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уплаты налога на прибыль налогоплательщиками, имеющими обособленные подразделения, установлены </w:t>
      </w:r>
      <w:hyperlink r:id="rId6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288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1D4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 </w:t>
      </w:r>
      <w:hyperlink r:id="rId7" w:history="1">
        <w:r w:rsidRPr="001D4C7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288</w:t>
        </w:r>
      </w:hyperlink>
      <w:r w:rsidRPr="001D4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следует применять к данным налоговым базам.</w:t>
      </w:r>
    </w:p>
    <w:p w:rsidR="00E27487" w:rsidRPr="009150AF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8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1 статьи 288 НК РФ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налогоплательщики - российские организации, имеющие обособленные подразделения, исчисляют и уплачивают в федеральный бюджет суммы авансовых платежей, а также суммы налога по итогам налогового периода по месту своего нахождения без распределения указанных сумм по обособленным подразделениям.</w:t>
      </w:r>
    </w:p>
    <w:p w:rsidR="00E27487" w:rsidRPr="009150AF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Уплата авансовых платежей, а также сумм налога, подлежащих зачислению в доходную часть бюджетов субъектов Российской Федерации, производится налогоплательщиками - российскими организациями по месту нахождения организации, а также по месту нахождения каждого из ее обособленных подразделений исходя из доли прибыли, приходящейся на эти обособленные подразделения, определяемой как средняя арифметическая величина удельного веса </w:t>
      </w:r>
      <w:hyperlink r:id="rId9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среднесписочной численности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 (расходов на оплату труда) и удельного веса </w:t>
      </w:r>
      <w:hyperlink r:id="rId10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остаточной стоимости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амортизируемого имущества этого обособленного подразделения соответственно в среднесписочной численности работников (расходах на оплату труда) и остаточной стоимости амортизируемого имущества, определенной в соответствии с </w:t>
      </w:r>
      <w:hyperlink r:id="rId11" w:history="1">
        <w:r w:rsidRPr="009150A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 статьи 257</w:t>
        </w:r>
      </w:hyperlink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Кодекса, в целом по налогоплательщику (пункт 2 статьи 288 НК РФ).</w:t>
      </w:r>
    </w:p>
    <w:p w:rsidR="00E27487" w:rsidRPr="009150AF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Суммы авансовых платежей, а также суммы налога, подлежащие зачислению в доходную часть бюджетов субъектов Российской Федерации, исчисляются по ставкам налога, действующим на территориях, где </w:t>
      </w:r>
      <w:r w:rsidRPr="009150A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расположены организация и ее обособленные подразделения (абзац 6 пункта 2 статьи 288 НК РФ).</w:t>
      </w:r>
    </w:p>
    <w:p w:rsidR="00E27487" w:rsidRPr="00FB06A6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согласно </w:t>
      </w:r>
      <w:hyperlink r:id="rId12" w:history="1">
        <w:r w:rsidRPr="00FB06A6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21 статьи 13</w:t>
        </w:r>
      </w:hyperlink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№377-ФЗ участник СЭЗ осуществляет деятельность в СЭЗ в соответствии с Договором.</w:t>
      </w:r>
    </w:p>
    <w:p w:rsidR="00E27487" w:rsidRPr="00FB06A6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Д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оговор регламентирует условия деятельности в СЭЗ на территории конкретного субъекта (города федерального значения Севастополя или Республики Крым). В данном случае между Правительством Севастополя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налогоплательщиком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ается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оговор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>б условиях деятельности в СЭЗ на территории города Севастополя.</w:t>
      </w:r>
    </w:p>
    <w:p w:rsidR="00E27487" w:rsidRDefault="00E27487" w:rsidP="00E274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пункту 1.3 Договора результатом деятельности (целью инвестиционного проекта) в соответствии с инвестиционной декларацией, прилагаемой к заявлению о заключении договора, является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деятельности в СЭЗ на </w:t>
      </w:r>
      <w:r w:rsidRPr="00FB06A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города федерального значения Севастополя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487" w:rsidRPr="005F2599" w:rsidRDefault="00E27487" w:rsidP="00E27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F2599">
        <w:rPr>
          <w:rFonts w:ascii="Times New Roman" w:hAnsi="Times New Roman" w:cs="Times New Roman"/>
          <w:sz w:val="28"/>
          <w:szCs w:val="28"/>
        </w:rPr>
        <w:t xml:space="preserve">В связи с чем, пониженные налоговые ставки к полученной прибыли по обособленным подразделениям, расположенным на территории Республики </w:t>
      </w:r>
      <w:proofErr w:type="gramStart"/>
      <w:r w:rsidRPr="005F2599">
        <w:rPr>
          <w:rFonts w:ascii="Times New Roman" w:hAnsi="Times New Roman" w:cs="Times New Roman"/>
          <w:sz w:val="28"/>
          <w:szCs w:val="28"/>
        </w:rPr>
        <w:t>Крым  не</w:t>
      </w:r>
      <w:proofErr w:type="gramEnd"/>
      <w:r w:rsidRPr="005F2599">
        <w:rPr>
          <w:rFonts w:ascii="Times New Roman" w:hAnsi="Times New Roman" w:cs="Times New Roman"/>
          <w:sz w:val="28"/>
          <w:szCs w:val="28"/>
        </w:rPr>
        <w:t xml:space="preserve"> применяются. </w:t>
      </w: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487"/>
    <w:rsid w:val="00E2748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2023A-3DD5-4737-96EF-93A7E0B0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EAA44A2D917BA6026CD4357B98BF9E868C24534C93450C968287F341165D87EBD2C340D8617346P9V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858469A99725D5D99DFA05B4AEF3873AE776326466019A8AEB2180817EB1F09A25523702D59E12o7B7O" TargetMode="External"/><Relationship Id="rId12" Type="http://schemas.openxmlformats.org/officeDocument/2006/relationships/hyperlink" Target="consultantplus://offline/ref=4CDFFAB813835E28A8585A77B6305816AABA5BEF784694080EB4C52D49157A16406BDC2977F213F1mEFD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EAA44A2D917BA6026CD4357B98BF9E868C24534C93450C968287F341165D87EBD2C340D8617346P9VDN" TargetMode="External"/><Relationship Id="rId11" Type="http://schemas.openxmlformats.org/officeDocument/2006/relationships/hyperlink" Target="consultantplus://offline/ref=47D90928940EB769DF6223B6EF6F1ECBD4197327753D00BDAAECB2C521E32C54181B86255271BEF8ECm4O" TargetMode="External"/><Relationship Id="rId5" Type="http://schemas.openxmlformats.org/officeDocument/2006/relationships/hyperlink" Target="consultantplus://offline/ref=9BEAA44A2D917BA6026CD4357B98BF9E868C24534C93450C968287F341165D87EBD2C340D9617DP4V3N" TargetMode="External"/><Relationship Id="rId10" Type="http://schemas.openxmlformats.org/officeDocument/2006/relationships/hyperlink" Target="consultantplus://offline/ref=47D90928940EB769DF6223B6EF6F1ECBD4197327753D00BDAAECB2C521E32C54181B86255271BEF8ECmEO" TargetMode="External"/><Relationship Id="rId4" Type="http://schemas.openxmlformats.org/officeDocument/2006/relationships/hyperlink" Target="consultantplus://offline/ref=9BEAA44A2D917BA6026CD4357B98BF9E868C24534C93450C968287F341165D87EBD2C340D8617146P9V1N" TargetMode="External"/><Relationship Id="rId9" Type="http://schemas.openxmlformats.org/officeDocument/2006/relationships/hyperlink" Target="consultantplus://offline/ref=47D90928940EB769DF6223B6EF6F1ECBD4197F26703C00BDAAECB2C521E32C54181B86255273B8FEECm1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2018-08-03T07:45:00Z</dcterms:created>
  <dcterms:modified xsi:type="dcterms:W3CDTF">2018-08-03T07:46:00Z</dcterms:modified>
</cp:coreProperties>
</file>